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52"/>
          <w:szCs w:val="52"/>
          <w:lang w:val="zh-TW"/>
        </w:rPr>
        <w:t>英吉沙县扶贫项目</w:t>
      </w: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18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rPr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英吉沙县委组织部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2018年村级综合服务楼建设项目</w:t>
      </w:r>
    </w:p>
    <w:p>
      <w:pPr>
        <w:pStyle w:val="48"/>
        <w:spacing w:line="700" w:lineRule="exact"/>
        <w:ind w:firstLine="720" w:firstLineChars="20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spacing w:val="-51"/>
          <w:kern w:val="0"/>
          <w:sz w:val="36"/>
          <w:szCs w:val="36"/>
        </w:rPr>
        <w:t>英吉沙镇人民政府、苏盖提乡人民政府</w:t>
      </w:r>
    </w:p>
    <w:p>
      <w:pPr>
        <w:pStyle w:val="48"/>
        <w:spacing w:line="700" w:lineRule="exact"/>
        <w:ind w:firstLine="720" w:firstLineChars="200"/>
        <w:jc w:val="left"/>
        <w:rPr>
          <w:rFonts w:eastAsia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中共英吉沙县委组织部</w:t>
      </w:r>
    </w:p>
    <w:p>
      <w:pPr>
        <w:pStyle w:val="48"/>
        <w:spacing w:line="700" w:lineRule="exact"/>
        <w:ind w:firstLine="720" w:firstLineChars="200"/>
        <w:jc w:val="left"/>
        <w:rPr>
          <w:rFonts w:eastAsia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李鹏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9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360" w:lineRule="auto"/>
        <w:ind w:firstLine="864" w:firstLineChars="200"/>
        <w:jc w:val="center"/>
        <w:rPr>
          <w:rStyle w:val="19"/>
          <w:rFonts w:hint="eastAsia" w:ascii="方正小标宋简体" w:hAnsi="黑体" w:eastAsia="方正小标宋简体"/>
          <w:b w:val="0"/>
          <w:spacing w:val="-4"/>
          <w:sz w:val="44"/>
          <w:szCs w:val="44"/>
          <w:lang w:eastAsia="zh-CN"/>
        </w:rPr>
      </w:pPr>
      <w:r>
        <w:rPr>
          <w:rStyle w:val="19"/>
          <w:rFonts w:hint="eastAsia" w:ascii="方正小标宋简体" w:hAnsi="黑体" w:eastAsia="方正小标宋简体"/>
          <w:b w:val="0"/>
          <w:spacing w:val="-4"/>
          <w:sz w:val="44"/>
          <w:szCs w:val="44"/>
          <w:lang w:eastAsia="zh-CN"/>
        </w:rPr>
        <w:t>英吉沙县委组织部</w:t>
      </w:r>
    </w:p>
    <w:p>
      <w:pPr>
        <w:pStyle w:val="48"/>
        <w:spacing w:line="360" w:lineRule="auto"/>
        <w:ind w:firstLine="864" w:firstLineChars="200"/>
        <w:jc w:val="center"/>
        <w:rPr>
          <w:rStyle w:val="19"/>
          <w:rFonts w:hint="eastAsia" w:ascii="方正小标宋简体" w:hAnsi="黑体" w:eastAsia="方正小标宋简体"/>
          <w:b w:val="0"/>
          <w:spacing w:val="-4"/>
          <w:sz w:val="44"/>
          <w:szCs w:val="44"/>
        </w:rPr>
      </w:pPr>
      <w:r>
        <w:rPr>
          <w:rStyle w:val="19"/>
          <w:rFonts w:hint="eastAsia" w:ascii="方正小标宋简体" w:hAnsi="黑体" w:eastAsia="方正小标宋简体"/>
          <w:b w:val="0"/>
          <w:spacing w:val="-4"/>
          <w:sz w:val="44"/>
          <w:szCs w:val="44"/>
        </w:rPr>
        <w:t>2018年村级综合服务楼建设项目</w:t>
      </w:r>
    </w:p>
    <w:p>
      <w:pPr>
        <w:pStyle w:val="48"/>
        <w:spacing w:line="360" w:lineRule="auto"/>
        <w:ind w:firstLine="864" w:firstLineChars="200"/>
        <w:jc w:val="center"/>
        <w:rPr>
          <w:rStyle w:val="19"/>
          <w:rFonts w:hint="eastAsia" w:ascii="方正小标宋简体" w:hAnsi="黑体" w:eastAsia="方正小标宋简体"/>
          <w:b w:val="0"/>
          <w:spacing w:val="-4"/>
          <w:sz w:val="44"/>
          <w:szCs w:val="44"/>
        </w:rPr>
      </w:pPr>
      <w:r>
        <w:rPr>
          <w:rStyle w:val="19"/>
          <w:rFonts w:hint="eastAsia" w:ascii="方正小标宋简体" w:hAnsi="黑体" w:eastAsia="方正小标宋简体"/>
          <w:b w:val="0"/>
          <w:spacing w:val="-4"/>
          <w:sz w:val="44"/>
          <w:szCs w:val="44"/>
        </w:rPr>
        <w:t>绩效自评报告</w:t>
      </w:r>
    </w:p>
    <w:p>
      <w:pPr>
        <w:pStyle w:val="48"/>
        <w:spacing w:line="360" w:lineRule="auto"/>
        <w:ind w:firstLine="624" w:firstLineChars="200"/>
        <w:jc w:val="left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360" w:lineRule="auto"/>
        <w:ind w:firstLine="627" w:firstLineChars="200"/>
        <w:rPr>
          <w:rStyle w:val="19"/>
          <w:rFonts w:hint="eastAsia"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（一）项目单位基本情况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县委组织部是县委主管组织工作和干部工作的职能部门。直属机关工委是县委的派出机构，负责县直机关党的思想、组织和作风建设，做好党员的教育和管理工作。</w:t>
      </w:r>
    </w:p>
    <w:p>
      <w:pPr>
        <w:adjustRightInd w:val="0"/>
        <w:snapToGrid w:val="0"/>
        <w:spacing w:line="360" w:lineRule="auto"/>
        <w:ind w:firstLine="627" w:firstLineChars="20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（二）项目预算</w:t>
      </w:r>
      <w:r>
        <w:rPr>
          <w:rStyle w:val="19"/>
          <w:rFonts w:ascii="楷体_GB2312" w:hAnsi="楷体" w:eastAsia="楷体_GB2312"/>
          <w:spacing w:val="-4"/>
          <w:sz w:val="32"/>
          <w:szCs w:val="32"/>
        </w:rPr>
        <w:t>绩效目标</w:t>
      </w: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360" w:lineRule="auto"/>
        <w:ind w:firstLine="643" w:firstLineChars="200"/>
        <w:rPr>
          <w:rFonts w:hint="eastAsia"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1．项目预期目标及阶段性目标</w:t>
      </w:r>
    </w:p>
    <w:p>
      <w:pPr>
        <w:adjustRightInd w:val="0"/>
        <w:snapToGrid w:val="0"/>
        <w:spacing w:line="360" w:lineRule="auto"/>
        <w:ind w:firstLine="616" w:firstLineChars="200"/>
        <w:rPr>
          <w:rFonts w:hint="eastAsia" w:ascii="仿宋_GB2312" w:eastAsia="仿宋_GB2312"/>
          <w:bCs/>
          <w:spacing w:val="-6"/>
          <w:sz w:val="32"/>
          <w:szCs w:val="32"/>
        </w:rPr>
      </w:pPr>
      <w:r>
        <w:rPr>
          <w:rFonts w:hint="eastAsia" w:ascii="仿宋_GB2312" w:eastAsia="仿宋_GB2312"/>
          <w:bCs/>
          <w:spacing w:val="-6"/>
          <w:sz w:val="32"/>
          <w:szCs w:val="32"/>
        </w:rPr>
        <w:t>投入资金483万元，建成英吉沙镇英巴扎（4）村、苏盖提乡吐尔库依（11）村村级综合服务楼2栋，年底投入使用，完善村级“五通七有”功能，改善村级办公条件，解决冬季宣讲、培训、学习、大型活动室内场地不够的短板，进一步提升村级阵地服务群众质量。</w:t>
      </w:r>
    </w:p>
    <w:p>
      <w:pPr>
        <w:adjustRightInd w:val="0"/>
        <w:snapToGrid w:val="0"/>
        <w:spacing w:line="360" w:lineRule="auto"/>
        <w:ind w:firstLine="643" w:firstLineChars="200"/>
        <w:rPr>
          <w:rFonts w:hint="eastAsia"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2．项目基本性质</w:t>
      </w:r>
    </w:p>
    <w:p>
      <w:pPr>
        <w:spacing w:line="360" w:lineRule="auto"/>
        <w:ind w:firstLine="616" w:firstLineChars="200"/>
        <w:rPr>
          <w:rFonts w:hint="eastAsia" w:ascii="仿宋_GB2312" w:eastAsia="仿宋_GB2312"/>
          <w:bCs/>
          <w:spacing w:val="-6"/>
          <w:sz w:val="32"/>
          <w:szCs w:val="32"/>
        </w:rPr>
      </w:pPr>
      <w:r>
        <w:rPr>
          <w:rFonts w:hint="eastAsia" w:ascii="仿宋_GB2312" w:eastAsia="仿宋_GB2312"/>
          <w:bCs/>
          <w:spacing w:val="-6"/>
          <w:sz w:val="32"/>
          <w:szCs w:val="32"/>
        </w:rPr>
        <w:t>本项目性质为新建。</w:t>
      </w:r>
    </w:p>
    <w:p>
      <w:pPr>
        <w:adjustRightInd w:val="0"/>
        <w:snapToGrid w:val="0"/>
        <w:spacing w:line="360" w:lineRule="auto"/>
        <w:ind w:firstLine="643" w:firstLineChars="200"/>
        <w:rPr>
          <w:rFonts w:hint="eastAsia"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3．项目用途及范围</w:t>
      </w:r>
    </w:p>
    <w:p>
      <w:pPr>
        <w:adjustRightInd w:val="0"/>
        <w:snapToGrid w:val="0"/>
        <w:spacing w:line="360" w:lineRule="auto"/>
        <w:ind w:firstLine="616" w:firstLineChars="200"/>
        <w:outlineLvl w:val="0"/>
        <w:rPr>
          <w:rFonts w:hint="eastAsia" w:ascii="仿宋_GB2312" w:eastAsia="仿宋_GB2312"/>
          <w:bCs/>
          <w:spacing w:val="-6"/>
          <w:sz w:val="32"/>
          <w:szCs w:val="32"/>
        </w:rPr>
      </w:pPr>
      <w:r>
        <w:rPr>
          <w:rFonts w:hint="eastAsia" w:ascii="仿宋_GB2312" w:eastAsia="仿宋_GB2312"/>
          <w:bCs/>
          <w:spacing w:val="-6"/>
          <w:sz w:val="32"/>
          <w:szCs w:val="32"/>
        </w:rPr>
        <w:t>为2个村3944名贫困村民扶智扶志工程提供良好的硬件设施，为全覆盖组织培训和大型的群众性文化体育活动提供便利条件；年内开展开展去极端化宣讲活动、国语培训、法律培训、技能培训32553人次。通过大规模的就近就地培训，提高群众的国语水平、法律知识、职业技能，进一步激发贫困群众主动脱贫的内生动力；从2019年开始，每年开展国语培训、法律培训、技能培训32553人次，开展文化体育活动、去极端化活动，达到去极端化的目的，进一步增强群众“五个认同”，为贫困户稳定脱贫提供保障，打牢稳定基础。</w:t>
      </w:r>
    </w:p>
    <w:p>
      <w:pPr>
        <w:adjustRightInd w:val="0"/>
        <w:snapToGrid w:val="0"/>
        <w:spacing w:line="360" w:lineRule="auto"/>
        <w:ind w:firstLine="624" w:firstLineChars="200"/>
        <w:outlineLvl w:val="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360" w:lineRule="auto"/>
        <w:ind w:firstLine="627" w:firstLineChars="200"/>
        <w:rPr>
          <w:rStyle w:val="19"/>
          <w:rFonts w:hint="eastAsia"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360" w:lineRule="auto"/>
        <w:ind w:firstLine="616" w:firstLineChars="200"/>
        <w:rPr>
          <w:rFonts w:hint="eastAsia" w:ascii="仿宋_GB2312" w:eastAsia="仿宋_GB2312"/>
          <w:bCs/>
          <w:spacing w:val="-6"/>
          <w:sz w:val="32"/>
          <w:szCs w:val="32"/>
        </w:rPr>
      </w:pPr>
      <w:r>
        <w:rPr>
          <w:rFonts w:hint="eastAsia" w:ascii="仿宋_GB2312" w:eastAsia="仿宋_GB2312"/>
          <w:bCs/>
          <w:spacing w:val="-6"/>
          <w:sz w:val="32"/>
          <w:szCs w:val="32"/>
        </w:rPr>
        <w:t>英吉沙县村级综合服务楼及英吉沙镇其兰（1）村村民服务中心建设项目预算安排总额为483万元，其中财政资金23万元，债券资金460万元，2018年实际收到预算资金460万元。截止9月底，拨付资金138万元。</w:t>
      </w:r>
    </w:p>
    <w:p>
      <w:pPr>
        <w:adjustRightInd w:val="0"/>
        <w:snapToGrid w:val="0"/>
        <w:spacing w:line="360" w:lineRule="auto"/>
        <w:ind w:firstLine="627" w:firstLineChars="200"/>
        <w:rPr>
          <w:rStyle w:val="19"/>
          <w:rFonts w:hint="eastAsia"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360" w:lineRule="auto"/>
        <w:ind w:firstLine="616" w:firstLineChars="200"/>
        <w:rPr>
          <w:rFonts w:hint="eastAsia" w:ascii="仿宋_GB2312" w:eastAsia="仿宋_GB2312"/>
          <w:bCs/>
          <w:spacing w:val="-6"/>
          <w:sz w:val="32"/>
          <w:szCs w:val="32"/>
        </w:rPr>
      </w:pPr>
      <w:r>
        <w:rPr>
          <w:rFonts w:hint="eastAsia" w:ascii="仿宋_GB2312" w:eastAsia="仿宋_GB2312"/>
          <w:bCs/>
          <w:spacing w:val="-6"/>
          <w:sz w:val="32"/>
          <w:szCs w:val="32"/>
        </w:rPr>
        <w:t>本项目实际支付资金138万元，预算执行率30%。项目资金主要用于支付项目工程款322万元，项目评审费用1万元、可研报告费用6万元，项目监理费用支付5.5万元，项目设计费5.9万元。</w:t>
      </w:r>
    </w:p>
    <w:p>
      <w:pPr>
        <w:adjustRightInd w:val="0"/>
        <w:snapToGrid w:val="0"/>
        <w:spacing w:line="360" w:lineRule="auto"/>
        <w:ind w:firstLine="627" w:firstLineChars="200"/>
        <w:rPr>
          <w:rStyle w:val="19"/>
          <w:rFonts w:hint="eastAsia"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（三）项目资金管理情况分析</w:t>
      </w:r>
    </w:p>
    <w:p>
      <w:pPr>
        <w:spacing w:line="360" w:lineRule="auto"/>
        <w:ind w:firstLine="616" w:firstLineChars="200"/>
        <w:rPr>
          <w:rFonts w:hint="eastAsia" w:ascii="仿宋_GB2312" w:hAnsi="仿宋" w:eastAsia="仿宋_GB2312"/>
          <w:bCs/>
          <w:spacing w:val="-4"/>
          <w:sz w:val="32"/>
          <w:szCs w:val="32"/>
        </w:rPr>
      </w:pPr>
      <w:r>
        <w:rPr>
          <w:rFonts w:hint="eastAsia" w:ascii="仿宋_GB2312" w:eastAsia="仿宋_GB2312"/>
          <w:bCs/>
          <w:spacing w:val="-6"/>
          <w:sz w:val="32"/>
          <w:szCs w:val="32"/>
        </w:rPr>
        <w:t>我单位根据债券资金管理办法和相关要求，对项目的实施程序、资金拨付、实际支出情况、账目归档等情况进行严格管理，坚决按照合同约定工程实际进度和验收情况支付相应工程款。</w:t>
      </w:r>
    </w:p>
    <w:p>
      <w:pPr>
        <w:adjustRightInd w:val="0"/>
        <w:snapToGrid w:val="0"/>
        <w:spacing w:line="360" w:lineRule="auto"/>
        <w:ind w:firstLine="624" w:firstLineChars="200"/>
        <w:outlineLvl w:val="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英吉沙镇英巴扎（4）村：新建村级综合服务楼1个，建设面积约1500</w:t>
      </w:r>
      <w:r>
        <w:rPr>
          <w:rFonts w:hint="eastAsia" w:ascii="宋体" w:hAnsi="宋体" w:cs="宋体"/>
          <w:kern w:val="0"/>
          <w:sz w:val="32"/>
          <w:szCs w:val="32"/>
        </w:rPr>
        <w:t>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上级下拨</w:t>
      </w:r>
      <w:r>
        <w:rPr>
          <w:rFonts w:hint="eastAsia" w:ascii="仿宋_GB2312" w:eastAsia="仿宋_GB2312"/>
          <w:kern w:val="0"/>
          <w:sz w:val="32"/>
          <w:szCs w:val="32"/>
        </w:rPr>
        <w:t>债券资金300万元；苏盖提乡吐尔库依 (11)村：新建村级综合服务楼1个，建设面积约800</w:t>
      </w:r>
      <w:r>
        <w:rPr>
          <w:rFonts w:hint="eastAsia" w:ascii="宋体" w:hAnsi="宋体" w:cs="宋体"/>
          <w:kern w:val="0"/>
          <w:sz w:val="32"/>
          <w:szCs w:val="32"/>
        </w:rPr>
        <w:t>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上级下拨</w:t>
      </w:r>
      <w:r>
        <w:rPr>
          <w:rFonts w:hint="eastAsia" w:ascii="仿宋_GB2312" w:eastAsia="仿宋_GB2312"/>
          <w:kern w:val="0"/>
          <w:sz w:val="32"/>
          <w:szCs w:val="32"/>
        </w:rPr>
        <w:t>债券资金160万元；共计下</w:t>
      </w:r>
      <w:r>
        <w:rPr>
          <w:rFonts w:hint="eastAsia" w:ascii="仿宋_GB2312" w:eastAsia="仿宋_GB2312"/>
          <w:sz w:val="32"/>
          <w:szCs w:val="32"/>
        </w:rPr>
        <w:t>拨</w:t>
      </w:r>
      <w:r>
        <w:rPr>
          <w:rFonts w:hint="eastAsia" w:ascii="仿宋_GB2312" w:eastAsia="仿宋_GB2312"/>
          <w:kern w:val="0"/>
          <w:sz w:val="32"/>
          <w:szCs w:val="32"/>
        </w:rPr>
        <w:t>债券资金460万元。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360" w:lineRule="auto"/>
        <w:ind w:firstLine="640" w:firstLineChars="200"/>
        <w:rPr>
          <w:rStyle w:val="19"/>
          <w:rFonts w:hint="eastAsia" w:ascii="仿宋_GB2312" w:hAnsi="仿宋" w:eastAsia="仿宋_GB2312"/>
          <w:b w:val="0"/>
          <w:color w:val="FF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为保证项目质量和成本控制，项目实施完成后，由本项目相关人员于2018年11月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30</w:t>
      </w:r>
      <w:bookmarkStart w:id="0" w:name="_GoBack"/>
      <w:bookmarkEnd w:id="0"/>
      <w:r>
        <w:rPr>
          <w:rFonts w:hint="eastAsia" w:ascii="仿宋_GB2312" w:hAnsi="仿宋" w:eastAsia="仿宋_GB2312" w:cs="仿宋"/>
          <w:sz w:val="32"/>
          <w:szCs w:val="32"/>
        </w:rPr>
        <w:t>日前完成检查验收，检查验收合格后按合同规定支付款项。</w:t>
      </w:r>
    </w:p>
    <w:p>
      <w:pPr>
        <w:adjustRightInd w:val="0"/>
        <w:snapToGrid w:val="0"/>
        <w:spacing w:line="360" w:lineRule="auto"/>
        <w:ind w:firstLine="643" w:firstLineChars="200"/>
        <w:rPr>
          <w:rStyle w:val="19"/>
          <w:rFonts w:hint="eastAsia" w:ascii="楷体_GB2312" w:eastAsia="楷体_GB2312"/>
          <w:sz w:val="32"/>
          <w:szCs w:val="32"/>
        </w:rPr>
      </w:pPr>
      <w:r>
        <w:rPr>
          <w:rStyle w:val="19"/>
          <w:rFonts w:hint="eastAsia" w:ascii="楷体_GB2312" w:eastAsia="楷体_GB2312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360" w:lineRule="auto"/>
        <w:ind w:firstLine="624" w:firstLineChars="200"/>
        <w:rPr>
          <w:rStyle w:val="19"/>
          <w:rFonts w:hint="eastAsia" w:ascii="仿宋_GB2312" w:hAnsi="仿宋" w:eastAsia="仿宋_GB2312"/>
          <w:b w:val="0"/>
          <w:color w:val="FF0000"/>
          <w:spacing w:val="-4"/>
          <w:sz w:val="32"/>
          <w:szCs w:val="32"/>
        </w:rPr>
      </w:pP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项目实施过程中，由项目管理人员、住建局、监理制定《项目管理制度》，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360" w:lineRule="auto"/>
        <w:ind w:firstLine="624" w:firstLineChars="200"/>
        <w:outlineLvl w:val="0"/>
        <w:rPr>
          <w:rStyle w:val="19"/>
          <w:rFonts w:hint="eastAsia"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360" w:lineRule="auto"/>
        <w:ind w:firstLine="643" w:firstLineChars="200"/>
        <w:rPr>
          <w:rStyle w:val="19"/>
          <w:rFonts w:hint="eastAsia"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eastAsia="楷体_GB2312"/>
          <w:sz w:val="32"/>
          <w:szCs w:val="32"/>
        </w:rPr>
        <w:t>（一）项目绩效目标完成情况分析</w:t>
      </w:r>
    </w:p>
    <w:p>
      <w:pPr>
        <w:spacing w:line="360" w:lineRule="auto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本项目共设置</w:t>
      </w:r>
      <w:r>
        <w:rPr>
          <w:rFonts w:hint="eastAsia" w:ascii="仿宋_GB2312" w:hAnsi="仿宋" w:eastAsia="仿宋_GB2312" w:cs="仿宋"/>
          <w:sz w:val="32"/>
          <w:szCs w:val="32"/>
          <w:highlight w:val="yellow"/>
        </w:rPr>
        <w:t>一级指标3个，</w:t>
      </w:r>
      <w:r>
        <w:rPr>
          <w:rFonts w:hint="eastAsia" w:ascii="仿宋_GB2312" w:hAnsi="仿宋" w:eastAsia="仿宋_GB2312" w:cs="仿宋"/>
          <w:sz w:val="32"/>
          <w:szCs w:val="32"/>
        </w:rPr>
        <w:t>二级指标7个，三级指标15个，其中已完成三级指标15个，指标完成率为96.5%。</w:t>
      </w:r>
    </w:p>
    <w:p>
      <w:pPr>
        <w:spacing w:line="360" w:lineRule="auto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经济性：紧扣脱贫攻坚工作，强化活动阵地建设，提高服务党员群众的能力和水平，充分发挥党组织的战斗堡垒作用，按照规划新建、改扩建的方式，2018年11月底前全面完成2个村级综合服务楼建设项目建设，涉及2个村、覆盖5个村民小组、群众3944人、党员52名。</w:t>
      </w:r>
    </w:p>
    <w:p>
      <w:pPr>
        <w:spacing w:line="360" w:lineRule="auto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效率性：项目由英吉沙镇人民政府、苏盖提乡人民政府自主实施，确保项目按期完工。</w:t>
      </w:r>
    </w:p>
    <w:p>
      <w:pPr>
        <w:spacing w:line="360" w:lineRule="auto"/>
        <w:ind w:firstLine="640" w:firstLineChars="200"/>
        <w:rPr>
          <w:rFonts w:hint="eastAsia" w:ascii="仿宋_GB2312" w:hAnsi="仿宋" w:eastAsia="仿宋_GB2312"/>
          <w:bCs/>
          <w:color w:val="FF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效益性：房屋建设项目设计使用质量年限为50年，地基基础采用条形基础及独立基础，建设项目结构形式为框架结构。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Fonts w:hint="eastAsia"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360" w:lineRule="auto"/>
        <w:ind w:firstLine="720" w:firstLineChars="200"/>
        <w:rPr>
          <w:rFonts w:hint="eastAsia" w:ascii="仿宋_GB2312" w:hAnsi="仿宋" w:eastAsia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村级综合服务楼</w:t>
      </w: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项目基础建设未能及时完工，主要因为项目开工较晚。</w:t>
      </w:r>
    </w:p>
    <w:p>
      <w:pPr>
        <w:adjustRightInd w:val="0"/>
        <w:snapToGrid w:val="0"/>
        <w:spacing w:line="360" w:lineRule="auto"/>
        <w:ind w:firstLine="624" w:firstLineChars="200"/>
        <w:outlineLvl w:val="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Fonts w:hint="eastAsia"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360" w:lineRule="auto"/>
        <w:ind w:firstLine="624" w:firstLineChars="200"/>
        <w:outlineLvl w:val="0"/>
        <w:rPr>
          <w:rFonts w:hint="eastAsia" w:ascii="仿宋_GB2312" w:hAnsi="仿宋" w:eastAsia="仿宋_GB2312"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督促加快项目建设进度，保质保量的按时完工。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Fonts w:hint="eastAsia"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360" w:lineRule="auto"/>
        <w:ind w:firstLine="624" w:firstLineChars="200"/>
        <w:rPr>
          <w:rFonts w:hint="eastAsia" w:ascii="仿宋_GB2312" w:hAnsi="仿宋" w:eastAsia="仿宋_GB2312"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1．主要经验及做法：项目启动后，加快项目前期手续办理，确保项目尽快实施、竣工验收；按照工程进度、合同约定，加快资金支付，推进项目实施。</w:t>
      </w:r>
    </w:p>
    <w:p>
      <w:pPr>
        <w:adjustRightInd w:val="0"/>
        <w:snapToGrid w:val="0"/>
        <w:spacing w:line="360" w:lineRule="auto"/>
        <w:ind w:firstLine="624" w:firstLineChars="200"/>
        <w:rPr>
          <w:rFonts w:hint="eastAsia" w:ascii="仿宋_GB2312" w:hAnsi="仿宋" w:eastAsia="仿宋_GB2312"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2．存在的问题：工程质量存在监督把关不严的问题</w:t>
      </w:r>
    </w:p>
    <w:p>
      <w:pPr>
        <w:adjustRightInd w:val="0"/>
        <w:snapToGrid w:val="0"/>
        <w:spacing w:line="360" w:lineRule="auto"/>
        <w:ind w:firstLine="624" w:firstLineChars="200"/>
        <w:rPr>
          <w:rFonts w:hint="eastAsia" w:ascii="仿宋_GB2312" w:hAnsi="仿宋" w:eastAsia="仿宋_GB2312"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3．建议：对监理建立考勤机制，压实责任，提高质量标准。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Fonts w:hint="eastAsia"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360" w:lineRule="auto"/>
        <w:ind w:firstLine="624" w:firstLineChars="200"/>
        <w:rPr>
          <w:rFonts w:hint="eastAsia" w:ascii="仿宋_GB2312" w:hAnsi="仿宋" w:eastAsia="仿宋_GB2312"/>
          <w:spacing w:val="-4"/>
          <w:sz w:val="32"/>
          <w:szCs w:val="32"/>
        </w:rPr>
      </w:pPr>
      <w:r>
        <w:rPr>
          <w:rFonts w:hint="eastAsia" w:ascii="仿宋_GB2312" w:hAnsi="仿宋" w:eastAsia="仿宋_GB2312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360" w:lineRule="auto"/>
        <w:ind w:firstLine="624" w:firstLineChars="200"/>
        <w:outlineLvl w:val="0"/>
        <w:rPr>
          <w:rStyle w:val="19"/>
          <w:rFonts w:ascii="黑体" w:eastAsia="黑体"/>
          <w:bCs w:val="0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360" w:lineRule="auto"/>
        <w:ind w:firstLine="624" w:firstLineChars="200"/>
        <w:rPr>
          <w:rFonts w:hint="eastAsia" w:ascii="仿宋_GB2312" w:hAnsi="仿宋" w:eastAsia="仿宋_GB2312"/>
          <w:spacing w:val="-4"/>
          <w:sz w:val="32"/>
          <w:szCs w:val="32"/>
        </w:rPr>
      </w:pPr>
      <w:r>
        <w:rPr>
          <w:rFonts w:hint="eastAsia" w:ascii="仿宋_GB2312" w:hAnsi="仿宋" w:eastAsia="仿宋_GB2312"/>
          <w:spacing w:val="-4"/>
          <w:sz w:val="32"/>
          <w:szCs w:val="32"/>
        </w:rPr>
        <w:t>本次评价通过文件研读、实地调研、数据分析等方式，全面了解县委组织部村级综合服务楼项目资金的使用效率和效果，项目管理过程是否规范，是否完成了预期绩效目标等。同时，通过开展自我评价来总结经验和教训，为英吉沙县基建类项目今后的开展提供参考建议。</w:t>
      </w:r>
    </w:p>
    <w:p>
      <w:pPr>
        <w:adjustRightInd w:val="0"/>
        <w:snapToGrid w:val="0"/>
        <w:spacing w:line="360" w:lineRule="auto"/>
        <w:ind w:firstLine="624" w:firstLineChars="200"/>
        <w:outlineLvl w:val="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360" w:lineRule="auto"/>
        <w:ind w:firstLine="624" w:firstLineChars="200"/>
        <w:rPr>
          <w:rStyle w:val="19"/>
          <w:rFonts w:hint="eastAsia"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360" w:lineRule="auto"/>
        <w:ind w:firstLine="627" w:firstLineChars="200"/>
        <w:rPr>
          <w:rStyle w:val="19"/>
          <w:rFonts w:ascii="仿宋" w:hAnsi="仿宋" w:eastAsia="仿宋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FjNTA4YTUxOTM5MTBkNWUxMGM2ZTU0NTllOWZkOGMifQ=="/>
  </w:docVars>
  <w:rsids>
    <w:rsidRoot w:val="00CA6457"/>
    <w:rsid w:val="000D1510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3C02F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A48E6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7131F"/>
    <w:rsid w:val="009B526F"/>
    <w:rsid w:val="009C1AFD"/>
    <w:rsid w:val="00A26421"/>
    <w:rsid w:val="00A4293B"/>
    <w:rsid w:val="00A82521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FD31502"/>
    <w:rsid w:val="24576C14"/>
    <w:rsid w:val="2BF20D0A"/>
    <w:rsid w:val="311016CD"/>
    <w:rsid w:val="312B4740"/>
    <w:rsid w:val="3D924E13"/>
    <w:rsid w:val="4FE111E6"/>
    <w:rsid w:val="5D897BE8"/>
    <w:rsid w:val="5E257531"/>
    <w:rsid w:val="72CA754F"/>
    <w:rsid w:val="73AB2707"/>
    <w:rsid w:val="756637C2"/>
    <w:rsid w:val="7D8010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autoRedefine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autoRedefine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autoRedefine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autoRedefine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autoRedefine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autoRedefine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autoRedefine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autoRedefine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autoRedefine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autoRedefine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autoRedefine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autoRedefine/>
    <w:qFormat/>
    <w:uiPriority w:val="0"/>
    <w:rPr>
      <w:b/>
      <w:bCs/>
    </w:rPr>
  </w:style>
  <w:style w:type="character" w:styleId="20">
    <w:name w:val="Emphasis"/>
    <w:basedOn w:val="18"/>
    <w:autoRedefine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autoRedefine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autoRedefine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autoRedefine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autoRedefine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autoRedefine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autoRedefine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autoRedefine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autoRedefine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autoRedefine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autoRedefine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autoRedefine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autoRedefine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autoRedefine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autoRedefine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autoRedefine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autoRedefine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autoRedefine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autoRedefine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autoRedefine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autoRedefine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autoRedefine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autoRedefine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719316E-03B3-472D-B490-AB7C8FEADF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311</Words>
  <Characters>1774</Characters>
  <Lines>14</Lines>
  <Paragraphs>4</Paragraphs>
  <TotalTime>25</TotalTime>
  <ScaleCrop>false</ScaleCrop>
  <LinksUpToDate>false</LinksUpToDate>
  <CharactersWithSpaces>2081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2023-12-13T07:43:23Z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EB30216DDFD1496187FC35E11980A105_12</vt:lpwstr>
  </property>
</Properties>
</file>